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仿宋" w:hAnsi="仿宋" w:eastAsia="仿宋"/>
          <w:b/>
          <w:color w:val="000000"/>
          <w:sz w:val="32"/>
          <w:szCs w:val="32"/>
        </w:rPr>
      </w:pPr>
      <w:r>
        <w:rPr>
          <w:rFonts w:hint="eastAsia" w:ascii="仿宋" w:hAnsi="仿宋" w:eastAsia="仿宋"/>
          <w:b/>
          <w:color w:val="000000"/>
          <w:sz w:val="32"/>
          <w:szCs w:val="32"/>
        </w:rPr>
        <w:t>宝安区高层次人才拟认定人选公示名单</w:t>
      </w:r>
    </w:p>
    <w:p>
      <w:pPr>
        <w:ind w:firstLine="0" w:firstLineChars="0"/>
        <w:jc w:val="center"/>
        <w:rPr>
          <w:rFonts w:ascii="仿宋" w:hAnsi="仿宋" w:eastAsia="仿宋"/>
          <w:b/>
          <w:color w:val="000000"/>
          <w:sz w:val="32"/>
          <w:szCs w:val="32"/>
        </w:rPr>
      </w:pPr>
      <w:r>
        <w:rPr>
          <w:rFonts w:hint="eastAsia" w:ascii="仿宋" w:hAnsi="仿宋" w:eastAsia="仿宋"/>
          <w:b/>
          <w:color w:val="000000"/>
          <w:sz w:val="32"/>
          <w:szCs w:val="32"/>
        </w:rPr>
        <w:t>（201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年第</w:t>
      </w:r>
      <w:r>
        <w:rPr>
          <w:rFonts w:hint="eastAsia" w:ascii="仿宋" w:hAnsi="仿宋" w:eastAsia="仿宋"/>
          <w:b/>
          <w:color w:val="000000"/>
          <w:sz w:val="32"/>
          <w:szCs w:val="32"/>
          <w:lang w:eastAsia="zh-CN"/>
        </w:rPr>
        <w:t>十八</w:t>
      </w:r>
      <w:r>
        <w:rPr>
          <w:rFonts w:hint="eastAsia" w:ascii="仿宋" w:hAnsi="仿宋" w:eastAsia="仿宋"/>
          <w:b/>
          <w:color w:val="000000"/>
          <w:sz w:val="32"/>
          <w:szCs w:val="32"/>
        </w:rPr>
        <w:t>批）</w:t>
      </w:r>
    </w:p>
    <w:tbl>
      <w:tblPr>
        <w:tblW w:w="9150" w:type="dxa"/>
        <w:jc w:val="center"/>
        <w:shd w:val="clear"/>
        <w:tblLayout w:type="autofit"/>
        <w:tblCellMar>
          <w:top w:w="0" w:type="dxa"/>
          <w:left w:w="0" w:type="dxa"/>
          <w:bottom w:w="0" w:type="dxa"/>
          <w:right w:w="0" w:type="dxa"/>
        </w:tblCellMar>
      </w:tblPr>
      <w:tblGrid>
        <w:gridCol w:w="797"/>
        <w:gridCol w:w="1990"/>
        <w:gridCol w:w="2374"/>
        <w:gridCol w:w="3989"/>
      </w:tblGrid>
      <w:tr>
        <w:tblPrEx>
          <w:shd w:val="clear"/>
          <w:tblCellMar>
            <w:top w:w="0" w:type="dxa"/>
            <w:left w:w="0" w:type="dxa"/>
            <w:bottom w:w="0" w:type="dxa"/>
            <w:right w:w="0" w:type="dxa"/>
          </w:tblCellMar>
        </w:tblPrEx>
        <w:trPr>
          <w:trHeight w:val="799" w:hRule="atLeast"/>
          <w:jc w:val="center"/>
        </w:trPr>
        <w:tc>
          <w:tcPr>
            <w:tcW w:w="915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bookmarkStart w:id="0" w:name="_GoBack"/>
            <w:r>
              <w:rPr>
                <w:rFonts w:hint="eastAsia" w:ascii="仿宋_GB2312" w:hAnsi="仿宋_GB2312" w:eastAsia="仿宋_GB2312" w:cs="仿宋_GB2312"/>
                <w:sz w:val="28"/>
                <w:szCs w:val="32"/>
                <w:lang w:val="en-US" w:eastAsia="zh-CN"/>
              </w:rPr>
              <w:t>宝安区高层次产业类人才</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序号</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姓名</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工作单位</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所符合的认定条件</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许栋</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深圳北芯生命科技有限公司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在基础科学、工程科技、生物科技、医药科技、信息科技等专业领域，具有正高级专业技术资格或具有全日制博士学历学位且在宝安区国家级高新技术企业从事科技研发工作满1年的人员</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章日华</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深圳市威利特自动化设备有限公司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在高新技术产业领域，拥有5件及以上发明专利或通过PCT申请并获得2件及以上国际专利，且均为前二位的完成人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陈昌铭</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深圳市深投环保科技有限公司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在高新技术产业领域，拥有5件及以上发明专利或通过PCT申请并获得2件及以上国际专利，且均为前二位的完成人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4</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温炎燊</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深圳市深投环保科技有限公司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在高新技术产业领域，拥有5件及以上发明专利或通过PCT申请并获得2件及以上国际专利，且均为前二位的完成人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5</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彭战军</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深圳中凝科技有限公司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在高新技术产业领域，拥有5件及以上发明专利或通过PCT申请并获得2件及以上国际专利，且均为前二位的完成人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6</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吴晓民</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深圳市君派伟业有限公司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在高新技术产业领域，拥有5件及以上发明专利或通过PCT申请并获得2件及以上国际专利，且均为前二位的完成人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7</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徐庆伟</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深圳市科润宝实业有限公司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在高新技术产业领域，拥有5件及以上发明专利或通过PCT申请并获得2件及以上国际专利，且均为前二位的完成人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8</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沈福根</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深圳市锐欧光学电子有限公司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拥有国际或国内发明专利，且年纳税额300万元及以上的国家级高新技术企业首席技术专家或研发负责人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9</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林清</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江西合力泰科技有限公司深圳分公司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在高新技术产业领域，拥有5件及以上发明专利或通过PCT申请并获得2件及以上国际专利，且均为前二位的完成人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10</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许福生</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江西合力泰科技有限公司深圳分公司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在高新技术产业领域，拥有5件及以上发明专利或通过PCT申请并获得2件及以上国际专利，且均为前二位的完成人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李相林</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深圳广田方特科建集团有限公司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在高新技术产业领域，拥有5件及以上发明专利或通过PCT申请并获得2件及以上国际专利，且均为前二位的完成人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12</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张国慧</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深圳市格莱特印刷材料有限公司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在高新技术产业领域，拥有5件及以上发明专利或通过PCT申请并获得2件及以上国际专利，且均为前二位的完成人</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13</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王先明</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深圳市创智激光智能装备有限公司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在非社会事业类单位从事一线工作，在广东省或深圳市组织的考试中取得高级技师职业资格且符合宝安区紧缺类工种目录技能人才鼓励优先发展类工种目录的人员</w:t>
            </w:r>
          </w:p>
        </w:tc>
      </w:tr>
      <w:tr>
        <w:tblPrEx>
          <w:tblCellMar>
            <w:top w:w="0" w:type="dxa"/>
            <w:left w:w="0" w:type="dxa"/>
            <w:bottom w:w="0" w:type="dxa"/>
            <w:right w:w="0" w:type="dxa"/>
          </w:tblCellMar>
        </w:tblPrEx>
        <w:trPr>
          <w:trHeight w:val="799" w:hRule="atLeast"/>
          <w:jc w:val="center"/>
        </w:trPr>
        <w:tc>
          <w:tcPr>
            <w:tcW w:w="915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宝安区高层次教育类人才</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14</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邱绍谦</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深圳市松岗中学</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符合教育类第6条：副省级城市及以上政府或教育行政部门授予或评定的名校长、名师，或校长、教师类工作室主持人（注：“名师”包括“名教师、教科研专家、名班主任”等）。</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15</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乔丽</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深圳市宝安区海韵学校</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符合教育类第1条：获得特级教师称号者。</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16</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庞亚燕</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深圳市宝安区宝安小学</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符合教育类第6条：副省级城市及以上政府或教育行政部门授予或评定的名校长、名师，或校长、教师类工作室主持人（注：“名师”包括“名教师、教科研专家、名班主任”等）。</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17</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王杰兵</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深圳市宝安实验学校</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符合教育类第7条：获得省级教育行政主管部门授予的优秀教师、优秀班主任荣誉称号的，且具有副高级专业技术资格的人员。</w:t>
            </w:r>
          </w:p>
        </w:tc>
      </w:tr>
      <w:tr>
        <w:tblPrEx>
          <w:tblCellMar>
            <w:top w:w="0" w:type="dxa"/>
            <w:left w:w="0" w:type="dxa"/>
            <w:bottom w:w="0" w:type="dxa"/>
            <w:right w:w="0" w:type="dxa"/>
          </w:tblCellMar>
        </w:tblPrEx>
        <w:trPr>
          <w:trHeight w:val="799" w:hRule="atLeast"/>
          <w:jc w:val="center"/>
        </w:trPr>
        <w:tc>
          <w:tcPr>
            <w:tcW w:w="915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宝安区高层次卫生类人才</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18</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黄超</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宝安人民医院（集团）第一人民医院</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45周岁以下，取得经认定的国（境）内外博士后出站人员</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19</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黄伟娜</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宝安人民医院（集团）第一人民医院</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40周岁以下，具有全日制博士学历学位的人员</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20</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周鑫才</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宝安区妇幼保健院</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50周岁以下，具有正高级专业技术资格的人员</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刘继新</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宝安中医院（集团）</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50周岁以下，具有正高级专业技术资格的人员</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22</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吴泽兵</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宝安人民医院（集团）第二人民医院</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高等医学院校直属附属医院硕士生导师且担任科室副主任及以上职务</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23</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杜震生</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宝安第二人民医院（集团）第二总医院</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45周岁以下，取得全日制博士学历学位且具有副高级专业技术资格的人员</w:t>
            </w:r>
          </w:p>
        </w:tc>
      </w:tr>
      <w:tr>
        <w:tblPrEx>
          <w:tblCellMar>
            <w:top w:w="0" w:type="dxa"/>
            <w:left w:w="0" w:type="dxa"/>
            <w:bottom w:w="0" w:type="dxa"/>
            <w:right w:w="0" w:type="dxa"/>
          </w:tblCellMar>
        </w:tblPrEx>
        <w:trPr>
          <w:trHeight w:val="799" w:hRule="atLeast"/>
          <w:jc w:val="center"/>
        </w:trPr>
        <w:tc>
          <w:tcPr>
            <w:tcW w:w="9150"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宝安区高层次综合类人才</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24</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陈敬</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深圳市英达通电子有限公司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25</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徐遥令</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深圳创维-RGB电子有限公司石岩工厂</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经认定且在任期内的深圳市高层次专业人才（地方级）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26</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俞江</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深圳市鼎耀科技有限公司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27</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姚浩</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深圳市信濠光电科技股份有限公司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经认定且在任期内的深圳市高层次专业人才（地方级）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28</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沈思宽</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深圳创维-RGB电子有限公司石岩工厂</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经认定且在任期内的深圳市高层次专业人才（地方级）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29</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PriteshHiralal</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深圳新源柔性科技有限公司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经认定的国(境)内外博士后出站人员</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30</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刘国齐</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唐锋机电科技（深圳）有限公司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经认定且在任期内的深圳市高层次专业人才（地方级）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王成群</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阳明量子科技（深圳）有限公司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经认定的国(境)内外博士后出站人员</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32</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李利</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深圳市众朗科技有限公司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33</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陈晓丽</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深圳市稳赢泰科技有限公司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34</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战玉博</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深圳市大博动力科技有限公司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35</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李虎权</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深圳市佳晨科技有限公司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36</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叶晶</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深圳市迈步机器人科技有限公司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37</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匡洪波</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深圳市靶心配比科技有限公司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38</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周黎</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深圳市稳赢泰科技有限公司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39</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何洁</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深圳市易瑞生物技术股份有限公司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40</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丁平</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深圳市尚科新能源有限公司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tr>
        <w:tblPrEx>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41</w:t>
            </w:r>
          </w:p>
        </w:tc>
        <w:tc>
          <w:tcPr>
            <w:tcW w:w="118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钟启田</w:t>
            </w:r>
          </w:p>
        </w:tc>
        <w:tc>
          <w:tcPr>
            <w:tcW w:w="26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深圳市启田贸易有限公司</w:t>
            </w:r>
          </w:p>
        </w:tc>
        <w:tc>
          <w:tcPr>
            <w:tcW w:w="445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经认定且在任期内的深圳市高层次专业人才（后备级）</w:t>
            </w:r>
          </w:p>
        </w:tc>
      </w:tr>
      <w:bookmarkEnd w:id="0"/>
    </w:tbl>
    <w:p>
      <w:pPr>
        <w:ind w:firstLine="0" w:firstLineChars="0"/>
        <w:jc w:val="center"/>
        <w:rPr>
          <w:rFonts w:eastAsiaTheme="minorEastAsia"/>
          <w:sz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BD2"/>
    <w:multiLevelType w:val="multilevel"/>
    <w:tmpl w:val="41AB7BD2"/>
    <w:lvl w:ilvl="0" w:tentative="0">
      <w:start w:val="1"/>
      <w:numFmt w:val="chineseCountingThousand"/>
      <w:pStyle w:val="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A5680C"/>
    <w:multiLevelType w:val="multilevel"/>
    <w:tmpl w:val="55A5680C"/>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6C"/>
    <w:rsid w:val="000B4D2C"/>
    <w:rsid w:val="00115A27"/>
    <w:rsid w:val="001E476C"/>
    <w:rsid w:val="002420B0"/>
    <w:rsid w:val="00310FC6"/>
    <w:rsid w:val="00386B40"/>
    <w:rsid w:val="003E2647"/>
    <w:rsid w:val="006B1D94"/>
    <w:rsid w:val="00814653"/>
    <w:rsid w:val="0082050D"/>
    <w:rsid w:val="00C51EC9"/>
    <w:rsid w:val="00CB2755"/>
    <w:rsid w:val="00CB6AE5"/>
    <w:rsid w:val="00CF6181"/>
    <w:rsid w:val="00E228B0"/>
    <w:rsid w:val="00FF705B"/>
    <w:rsid w:val="0CE87A1B"/>
    <w:rsid w:val="4EE00063"/>
    <w:rsid w:val="511E79F4"/>
    <w:rsid w:val="7BAC5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2"/>
    <w:basedOn w:val="1"/>
    <w:next w:val="1"/>
    <w:link w:val="9"/>
    <w:semiHidden/>
    <w:unhideWhenUsed/>
    <w:qFormat/>
    <w:uiPriority w:val="9"/>
    <w:pPr>
      <w:keepNext/>
      <w:keepLines/>
      <w:outlineLvl w:val="1"/>
    </w:pPr>
    <w:rPr>
      <w:rFonts w:asciiTheme="majorHAnsi" w:hAnsiTheme="majorHAnsi" w:cstheme="majorBidi"/>
      <w:b/>
      <w:bCs/>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级别一"/>
    <w:basedOn w:val="8"/>
    <w:qFormat/>
    <w:uiPriority w:val="0"/>
    <w:pPr>
      <w:numPr>
        <w:ilvl w:val="0"/>
        <w:numId w:val="1"/>
      </w:numPr>
      <w:ind w:firstLine="0" w:firstLineChars="0"/>
      <w:jc w:val="left"/>
      <w:outlineLvl w:val="0"/>
    </w:pPr>
    <w:rPr>
      <w:rFonts w:ascii="宋体" w:hAnsi="宋体"/>
      <w:b/>
    </w:rPr>
  </w:style>
  <w:style w:type="paragraph" w:styleId="8">
    <w:name w:val="List Paragraph"/>
    <w:basedOn w:val="1"/>
    <w:qFormat/>
    <w:uiPriority w:val="34"/>
    <w:pPr>
      <w:ind w:firstLine="420"/>
    </w:pPr>
  </w:style>
  <w:style w:type="character" w:customStyle="1" w:styleId="9">
    <w:name w:val="标题 2 字符"/>
    <w:basedOn w:val="6"/>
    <w:link w:val="2"/>
    <w:semiHidden/>
    <w:qFormat/>
    <w:uiPriority w:val="9"/>
    <w:rPr>
      <w:rFonts w:eastAsia="宋体" w:asciiTheme="majorHAnsi" w:hAnsiTheme="majorHAnsi" w:cstheme="majorBidi"/>
      <w:b/>
      <w:bCs/>
      <w:sz w:val="24"/>
      <w:szCs w:val="32"/>
    </w:rPr>
  </w:style>
  <w:style w:type="paragraph" w:customStyle="1" w:styleId="10">
    <w:name w:val="级别四"/>
    <w:basedOn w:val="8"/>
    <w:link w:val="11"/>
    <w:qFormat/>
    <w:uiPriority w:val="0"/>
    <w:pPr>
      <w:numPr>
        <w:ilvl w:val="0"/>
        <w:numId w:val="2"/>
      </w:numPr>
      <w:adjustRightInd w:val="0"/>
      <w:snapToGrid w:val="0"/>
      <w:ind w:left="420" w:hanging="420" w:firstLineChars="0"/>
      <w:outlineLvl w:val="3"/>
    </w:pPr>
    <w:rPr>
      <w:b/>
      <w:szCs w:val="24"/>
    </w:rPr>
  </w:style>
  <w:style w:type="character" w:customStyle="1" w:styleId="11">
    <w:name w:val="级别四 字符"/>
    <w:basedOn w:val="6"/>
    <w:link w:val="10"/>
    <w:qFormat/>
    <w:uiPriority w:val="0"/>
    <w:rPr>
      <w:rFonts w:eastAsia="宋体"/>
      <w:b/>
      <w:sz w:val="24"/>
      <w:szCs w:val="24"/>
    </w:rPr>
  </w:style>
  <w:style w:type="character" w:customStyle="1" w:styleId="12">
    <w:name w:val="页眉 字符"/>
    <w:basedOn w:val="6"/>
    <w:link w:val="4"/>
    <w:qFormat/>
    <w:uiPriority w:val="99"/>
    <w:rPr>
      <w:rFonts w:eastAsia="宋体"/>
      <w:sz w:val="18"/>
      <w:szCs w:val="18"/>
    </w:rPr>
  </w:style>
  <w:style w:type="character" w:customStyle="1" w:styleId="13">
    <w:name w:val="页脚 字符"/>
    <w:basedOn w:val="6"/>
    <w:link w:val="3"/>
    <w:qFormat/>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186</Characters>
  <Lines>1</Lines>
  <Paragraphs>1</Paragraphs>
  <TotalTime>21</TotalTime>
  <ScaleCrop>false</ScaleCrop>
  <LinksUpToDate>false</LinksUpToDate>
  <CharactersWithSpaces>217</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2018-10-28T13:08:00Z</dcterms:created>
  <dc:creator>小津映画</dc:creator>
  <cp:lastModifiedBy>人力资源局</cp:lastModifiedBy>
  <dcterms:modified xsi:type="dcterms:W3CDTF">2019-12-12T01:34:59Z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